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5276" w:rsidRDefault="00FB73F1">
      <w:pPr>
        <w:pStyle w:val="Title"/>
      </w:pPr>
      <w:r>
        <w:t>STANDARDS ALLIANCE PHASE 2</w:t>
      </w:r>
    </w:p>
    <w:p w14:paraId="00000002" w14:textId="77777777" w:rsidR="00925276" w:rsidRDefault="00FB73F1">
      <w:pPr>
        <w:pStyle w:val="Title"/>
        <w:rPr>
          <w:sz w:val="32"/>
          <w:szCs w:val="32"/>
        </w:rPr>
      </w:pPr>
      <w:r>
        <w:rPr>
          <w:sz w:val="30"/>
          <w:szCs w:val="30"/>
        </w:rPr>
        <w:t xml:space="preserve">Standards and technical regulations are critical to economic development and global trade. Exports, imports, and domestic production alike must comply with them to enter a market. </w:t>
      </w:r>
    </w:p>
    <w:p w14:paraId="00000003" w14:textId="77777777" w:rsidR="00925276" w:rsidRDefault="00FB73F1">
      <w:pPr>
        <w:jc w:val="both"/>
      </w:pPr>
      <w:r>
        <w:t>The Standards Alliance (SA) is a partnership between the U.S. Agency for In</w:t>
      </w:r>
      <w:r>
        <w:t xml:space="preserve">ternational Development (USAID) and the </w:t>
      </w:r>
      <w:hyperlink r:id="rId7">
        <w:r>
          <w:rPr>
            <w:color w:val="4F81BD"/>
            <w:u w:val="single"/>
          </w:rPr>
          <w:t>American National Standards Institute (ANSI)</w:t>
        </w:r>
      </w:hyperlink>
      <w:r>
        <w:t xml:space="preserve"> designed to support the capacity of partner countries in the areas of legal and regulatory reform, standards development, conformi</w:t>
      </w:r>
      <w:r>
        <w:t>ty assessment procedures, and private sector engagement. It promotes the National Quality Infrastructure (NQI) institutional framework, which establishes and implements standardization - including metrology, accreditation, and conformity assessment service</w:t>
      </w:r>
      <w:r>
        <w:t xml:space="preserve">s. NQI promotes high quality, safe products and services in a country and facilitates international commerce by reducing unnecessary barriers to trade. </w:t>
      </w:r>
    </w:p>
    <w:p w14:paraId="00000004" w14:textId="77777777" w:rsidR="00925276" w:rsidRDefault="00FB73F1">
      <w:pPr>
        <w:jc w:val="both"/>
      </w:pPr>
      <w:r>
        <w:t>ANSI is a private, non-profit organization that administers and coordinates the U.S. voluntary standard</w:t>
      </w:r>
      <w:r>
        <w:t>s and conformity assessment system. As the U.S. representative to the International Organization for Standardization (ISO), ANSI and its members participate in 569 technical committees and subcommittees and administer the Secretariat of 103 ISO technical c</w:t>
      </w:r>
      <w:r>
        <w:t xml:space="preserve">ommittees and subcommittees. </w:t>
      </w:r>
    </w:p>
    <w:p w14:paraId="00000005" w14:textId="77777777" w:rsidR="00925276" w:rsidRDefault="00FB73F1">
      <w:pPr>
        <w:rPr>
          <w:b/>
        </w:rPr>
      </w:pPr>
      <w:r>
        <w:rPr>
          <w:b/>
        </w:rPr>
        <w:t>ABOUT THE STANDARDS ALLIANCE PHASE 2 (SA2)</w:t>
      </w:r>
    </w:p>
    <w:p w14:paraId="00000006" w14:textId="77777777" w:rsidR="00925276" w:rsidRDefault="00FB73F1">
      <w:pPr>
        <w:jc w:val="both"/>
      </w:pPr>
      <w:r>
        <w:t>Leveraging ANSI's expertise, this initiative helps the private sector and partner countries boost international trade through increased market access and trade facilitation. The SA2 s</w:t>
      </w:r>
      <w:r>
        <w:t xml:space="preserve">upports predictable and transparent processes and notifications to develop and adopt internationally accepted standards, and to comply with the World Trade Organization’s (WTO) Agreement on Technical Barriers to Trade. </w:t>
      </w:r>
    </w:p>
    <w:p w14:paraId="00000007" w14:textId="77777777" w:rsidR="00925276" w:rsidRDefault="00FB73F1">
      <w:pPr>
        <w:pStyle w:val="Heading2"/>
      </w:pPr>
      <w:r>
        <w:t>HOW THE SA2 PROGRAM WORKS</w:t>
      </w:r>
    </w:p>
    <w:p w14:paraId="00000008" w14:textId="77777777" w:rsidR="00925276" w:rsidRDefault="00FB73F1">
      <w:pPr>
        <w:jc w:val="both"/>
      </w:pPr>
      <w:r>
        <w:t>The SA2 pr</w:t>
      </w:r>
      <w:r>
        <w:t>ovides support in USAID eligible countries in</w:t>
      </w:r>
      <w:r>
        <w:rPr>
          <w:b/>
        </w:rPr>
        <w:t xml:space="preserve"> Asia,</w:t>
      </w:r>
      <w:r>
        <w:t xml:space="preserve"> </w:t>
      </w:r>
      <w:r>
        <w:rPr>
          <w:b/>
        </w:rPr>
        <w:t>Latin America, the Middle East, and Africa</w:t>
      </w:r>
      <w:r>
        <w:t>. In consultation with USAID Missions, U.S. government, and private sector experts, ANSI will select partner countries based on private sector interest and develo</w:t>
      </w:r>
      <w:r>
        <w:t xml:space="preserve">pment impact. </w:t>
      </w:r>
    </w:p>
    <w:p w14:paraId="00000009" w14:textId="77777777" w:rsidR="00925276" w:rsidRDefault="00FB73F1">
      <w:pPr>
        <w:jc w:val="both"/>
      </w:pPr>
      <w:r>
        <w:t xml:space="preserve">SA2 welcomes proposals from USAID Bureaus and Missions which include established private sector entities that can participate as subject matter experts in the area of technical standards and regulations i.e. – a </w:t>
      </w:r>
      <w:proofErr w:type="gramStart"/>
      <w:r>
        <w:t>lead</w:t>
      </w:r>
      <w:proofErr w:type="gramEnd"/>
      <w:r>
        <w:t xml:space="preserve"> organization to serve as</w:t>
      </w:r>
      <w:r>
        <w:t xml:space="preserve"> the private sector partner.  Interested private sector partners can contact ANSI for additional information regarding the proposal process. </w:t>
      </w:r>
    </w:p>
    <w:p w14:paraId="0000000A" w14:textId="77777777" w:rsidR="00925276" w:rsidRDefault="00925276">
      <w:pPr>
        <w:pStyle w:val="Heading2"/>
        <w:jc w:val="both"/>
        <w:rPr>
          <w:sz w:val="22"/>
          <w:szCs w:val="22"/>
        </w:rPr>
      </w:pPr>
      <w:bookmarkStart w:id="0" w:name="_8i9wg58jz8mh" w:colFirst="0" w:colLast="0"/>
      <w:bookmarkEnd w:id="0"/>
    </w:p>
    <w:p w14:paraId="0000000B" w14:textId="77777777" w:rsidR="00925276" w:rsidRDefault="00925276"/>
    <w:p w14:paraId="0000000C" w14:textId="77777777" w:rsidR="00925276" w:rsidRDefault="00925276"/>
    <w:p w14:paraId="0000000D" w14:textId="77777777" w:rsidR="00925276" w:rsidRDefault="00925276">
      <w:pPr>
        <w:pStyle w:val="Heading2"/>
        <w:jc w:val="both"/>
        <w:rPr>
          <w:sz w:val="22"/>
          <w:szCs w:val="22"/>
        </w:rPr>
      </w:pPr>
      <w:bookmarkStart w:id="1" w:name="_4vkfvw6ows1t" w:colFirst="0" w:colLast="0"/>
      <w:bookmarkEnd w:id="1"/>
    </w:p>
    <w:p w14:paraId="0000000E" w14:textId="77777777" w:rsidR="00925276" w:rsidRDefault="00FB73F1">
      <w:pPr>
        <w:pStyle w:val="Heading2"/>
        <w:jc w:val="both"/>
        <w:rPr>
          <w:sz w:val="22"/>
          <w:szCs w:val="22"/>
        </w:rPr>
      </w:pPr>
      <w:bookmarkStart w:id="2" w:name="_dxoft1sc9pgy" w:colFirst="0" w:colLast="0"/>
      <w:bookmarkEnd w:id="2"/>
      <w:r>
        <w:rPr>
          <w:sz w:val="22"/>
          <w:szCs w:val="22"/>
        </w:rPr>
        <w:t>examples of past and current assistance</w:t>
      </w:r>
    </w:p>
    <w:p w14:paraId="0000000F" w14:textId="77777777" w:rsidR="00925276" w:rsidRDefault="00FB73F1">
      <w:pPr>
        <w:jc w:val="both"/>
      </w:pPr>
      <w:r>
        <w:t>The SA has reached nearly 4600 participants from 27 countries to devel</w:t>
      </w:r>
      <w:r>
        <w:t>op national standards regimes, implemented international trade obligations, and enhanced public-private</w:t>
      </w:r>
      <w:r>
        <w:rPr>
          <w:color w:val="000000"/>
          <w:sz w:val="20"/>
          <w:szCs w:val="20"/>
        </w:rPr>
        <w:t xml:space="preserve"> </w:t>
      </w:r>
      <w:r>
        <w:t>dialogue on standards and technical regulations. Successes include:</w:t>
      </w:r>
    </w:p>
    <w:p w14:paraId="00000010" w14:textId="77777777" w:rsidR="00925276" w:rsidRDefault="00FB73F1">
      <w:pPr>
        <w:numPr>
          <w:ilvl w:val="0"/>
          <w:numId w:val="1"/>
        </w:numPr>
        <w:spacing w:after="0"/>
        <w:jc w:val="both"/>
      </w:pPr>
      <w:r>
        <w:rPr>
          <w:i/>
        </w:rPr>
        <w:t>Improved transparency</w:t>
      </w:r>
      <w:r>
        <w:t xml:space="preserve"> measured by a 42 percent increase in notifications to the WTO </w:t>
      </w:r>
      <w:r>
        <w:t xml:space="preserve">of proposed technical regulations by partner countries. When companies </w:t>
      </w:r>
      <w:proofErr w:type="gramStart"/>
      <w:r>
        <w:t>know</w:t>
      </w:r>
      <w:proofErr w:type="gramEnd"/>
      <w:r>
        <w:t xml:space="preserve"> what regulations will apply to their products and can provide feedback, they can reduce disruptions in their sales. Governments that increase transparency benefit from more technic</w:t>
      </w:r>
      <w:r>
        <w:t>ally sound regulation and by fulfilling protection of public health and safety.</w:t>
      </w:r>
    </w:p>
    <w:p w14:paraId="00000011" w14:textId="77777777" w:rsidR="00925276" w:rsidRDefault="00925276">
      <w:pPr>
        <w:spacing w:after="0"/>
        <w:ind w:left="720"/>
        <w:jc w:val="both"/>
      </w:pPr>
    </w:p>
    <w:p w14:paraId="00000012" w14:textId="77777777" w:rsidR="00925276" w:rsidRDefault="00FB73F1">
      <w:pPr>
        <w:numPr>
          <w:ilvl w:val="0"/>
          <w:numId w:val="1"/>
        </w:numPr>
        <w:spacing w:after="0"/>
        <w:jc w:val="both"/>
      </w:pPr>
      <w:r>
        <w:rPr>
          <w:i/>
        </w:rPr>
        <w:t>Increased predictability</w:t>
      </w:r>
      <w:r>
        <w:t xml:space="preserve"> </w:t>
      </w:r>
      <w:r>
        <w:rPr>
          <w:i/>
        </w:rPr>
        <w:t xml:space="preserve">and market access </w:t>
      </w:r>
      <w:r>
        <w:t>for stakeholders leading to a 39 percent decrease in the number of market barriers identified by stakeholders.</w:t>
      </w:r>
    </w:p>
    <w:p w14:paraId="00000013" w14:textId="77777777" w:rsidR="00925276" w:rsidRDefault="00925276">
      <w:pPr>
        <w:spacing w:after="0"/>
        <w:ind w:left="720"/>
        <w:jc w:val="both"/>
      </w:pPr>
    </w:p>
    <w:p w14:paraId="00000014" w14:textId="77777777" w:rsidR="00925276" w:rsidRDefault="00FB73F1">
      <w:pPr>
        <w:numPr>
          <w:ilvl w:val="0"/>
          <w:numId w:val="1"/>
        </w:numPr>
        <w:spacing w:after="0"/>
        <w:jc w:val="both"/>
      </w:pPr>
      <w:r>
        <w:rPr>
          <w:i/>
        </w:rPr>
        <w:t>Expanded access to c</w:t>
      </w:r>
      <w:r>
        <w:rPr>
          <w:i/>
        </w:rPr>
        <w:t xml:space="preserve">lean water and safe sanitation </w:t>
      </w:r>
      <w:r>
        <w:t>through the adoption and implementation of a Uniform Plumbing Code for Indonesia, based on the ANSI-accredited International Association of Plumbing and Mechanical Officials code. This also supported smoother market access fo</w:t>
      </w:r>
      <w:r>
        <w:t>r American producers of plumbing products.</w:t>
      </w:r>
    </w:p>
    <w:p w14:paraId="00000015" w14:textId="77777777" w:rsidR="00925276" w:rsidRDefault="00925276">
      <w:pPr>
        <w:spacing w:after="0"/>
        <w:ind w:left="720"/>
        <w:jc w:val="both"/>
      </w:pPr>
    </w:p>
    <w:p w14:paraId="00000016" w14:textId="77777777" w:rsidR="00925276" w:rsidRDefault="00FB73F1">
      <w:pPr>
        <w:numPr>
          <w:ilvl w:val="0"/>
          <w:numId w:val="1"/>
        </w:numPr>
        <w:jc w:val="both"/>
      </w:pPr>
      <w:r>
        <w:t xml:space="preserve">To </w:t>
      </w:r>
      <w:r>
        <w:rPr>
          <w:i/>
        </w:rPr>
        <w:t>respond to the COVID-19 pandemic</w:t>
      </w:r>
      <w:r>
        <w:t>, the SA has mobilized over $6 million in technical assistance to support countries’ and private sector partners’ efforts to adopt international standards needed for emergency m</w:t>
      </w:r>
      <w:r>
        <w:t>edical equipment. This technical assistance, provided in collaboration with the Advanced Medical Technology Association, reduces unnecessary healthcare regulatory burdens and barriers to trade, which negatively affect public health and economic development</w:t>
      </w:r>
      <w:r>
        <w:t>. Regulatory non-alignment can add to at least $1 billion in costs globally according to stakeholders.</w:t>
      </w:r>
    </w:p>
    <w:p w14:paraId="00000017" w14:textId="77777777" w:rsidR="00925276" w:rsidRDefault="00925276">
      <w:pPr>
        <w:jc w:val="center"/>
      </w:pPr>
    </w:p>
    <w:p w14:paraId="00000018" w14:textId="77777777" w:rsidR="00925276" w:rsidRDefault="00FB73F1">
      <w:pPr>
        <w:pStyle w:val="Heading3"/>
        <w:pBdr>
          <w:bottom w:val="single" w:sz="4" w:space="1" w:color="000000"/>
        </w:pBdr>
        <w:rPr>
          <w:sz w:val="22"/>
          <w:szCs w:val="22"/>
        </w:rPr>
      </w:pPr>
      <w:r>
        <w:rPr>
          <w:sz w:val="22"/>
          <w:szCs w:val="22"/>
        </w:rPr>
        <w:t>for further information, contact:</w:t>
      </w:r>
    </w:p>
    <w:tbl>
      <w:tblPr>
        <w:tblStyle w:val="a"/>
        <w:tblW w:w="9026" w:type="dxa"/>
        <w:tblBorders>
          <w:top w:val="nil"/>
          <w:left w:val="nil"/>
          <w:bottom w:val="nil"/>
          <w:right w:val="nil"/>
          <w:insideH w:val="nil"/>
          <w:insideV w:val="nil"/>
        </w:tblBorders>
        <w:tblLayout w:type="fixed"/>
        <w:tblLook w:val="0400" w:firstRow="0" w:lastRow="0" w:firstColumn="0" w:lastColumn="0" w:noHBand="0" w:noVBand="1"/>
      </w:tblPr>
      <w:tblGrid>
        <w:gridCol w:w="4503"/>
        <w:gridCol w:w="4523"/>
      </w:tblGrid>
      <w:tr w:rsidR="00925276" w14:paraId="2F5ADDAD" w14:textId="77777777">
        <w:tc>
          <w:tcPr>
            <w:tcW w:w="4503" w:type="dxa"/>
          </w:tcPr>
          <w:p w14:paraId="00000019" w14:textId="77777777" w:rsidR="00925276" w:rsidRDefault="00FB73F1">
            <w:pPr>
              <w:spacing w:after="0"/>
              <w:rPr>
                <w:b/>
              </w:rPr>
            </w:pPr>
            <w:r>
              <w:rPr>
                <w:b/>
              </w:rPr>
              <w:t>Daniel Vazquez</w:t>
            </w:r>
          </w:p>
          <w:p w14:paraId="0000001A" w14:textId="77777777" w:rsidR="00925276" w:rsidRDefault="00FB73F1">
            <w:pPr>
              <w:spacing w:after="0"/>
            </w:pPr>
            <w:r>
              <w:t>Sr. Standards Specialist</w:t>
            </w:r>
          </w:p>
          <w:p w14:paraId="0000001B" w14:textId="77777777" w:rsidR="00925276" w:rsidRDefault="00FB73F1">
            <w:pPr>
              <w:spacing w:after="0"/>
            </w:pPr>
            <w:r>
              <w:rPr>
                <w:b/>
              </w:rPr>
              <w:t>USAID Contractor - Resonance</w:t>
            </w:r>
          </w:p>
          <w:p w14:paraId="0000001C" w14:textId="77777777" w:rsidR="00925276" w:rsidRDefault="00FB73F1">
            <w:pPr>
              <w:spacing w:after="0"/>
            </w:pPr>
            <w:r>
              <w:rPr>
                <w:b/>
              </w:rPr>
              <w:t xml:space="preserve">USAID </w:t>
            </w:r>
            <w:proofErr w:type="gramStart"/>
            <w:r>
              <w:t>|  E</w:t>
            </w:r>
            <w:proofErr w:type="gramEnd"/>
            <w:r>
              <w:t>3/Trade and Regulatory Reform </w:t>
            </w:r>
          </w:p>
          <w:p w14:paraId="0000001D" w14:textId="77777777" w:rsidR="00925276" w:rsidRDefault="00FB73F1">
            <w:pPr>
              <w:spacing w:after="0"/>
            </w:pPr>
            <w:r>
              <w:t>Phone: +1 202.641.0012</w:t>
            </w:r>
          </w:p>
          <w:p w14:paraId="0000001E" w14:textId="77777777" w:rsidR="00925276" w:rsidRDefault="00FB73F1">
            <w:pPr>
              <w:spacing w:after="0"/>
            </w:pPr>
            <w:r>
              <w:t xml:space="preserve">Email: </w:t>
            </w:r>
            <w:hyperlink r:id="rId8">
              <w:r>
                <w:rPr>
                  <w:u w:val="single"/>
                </w:rPr>
                <w:t>mdvazquez@usaid.gov</w:t>
              </w:r>
            </w:hyperlink>
          </w:p>
        </w:tc>
        <w:tc>
          <w:tcPr>
            <w:tcW w:w="4523" w:type="dxa"/>
          </w:tcPr>
          <w:p w14:paraId="0000001F" w14:textId="77777777" w:rsidR="00925276" w:rsidRDefault="00FB73F1">
            <w:pPr>
              <w:spacing w:after="0"/>
              <w:rPr>
                <w:b/>
              </w:rPr>
            </w:pPr>
            <w:r>
              <w:rPr>
                <w:b/>
              </w:rPr>
              <w:t>Leslie McDermott</w:t>
            </w:r>
          </w:p>
          <w:p w14:paraId="00000020" w14:textId="77777777" w:rsidR="00925276" w:rsidRDefault="00FB73F1">
            <w:pPr>
              <w:spacing w:after="0"/>
            </w:pPr>
            <w:r>
              <w:t>Senior Director, International Development</w:t>
            </w:r>
          </w:p>
          <w:p w14:paraId="00000021" w14:textId="77777777" w:rsidR="00925276" w:rsidRDefault="00FB73F1">
            <w:pPr>
              <w:spacing w:after="0"/>
            </w:pPr>
            <w:r>
              <w:rPr>
                <w:b/>
              </w:rPr>
              <w:t>American National Standards Institute</w:t>
            </w:r>
          </w:p>
          <w:p w14:paraId="00000022" w14:textId="77777777" w:rsidR="00925276" w:rsidRDefault="00FB73F1">
            <w:pPr>
              <w:spacing w:after="0"/>
            </w:pPr>
            <w:r>
              <w:t>Phone: +1.202.331.3626</w:t>
            </w:r>
          </w:p>
          <w:p w14:paraId="00000023" w14:textId="77777777" w:rsidR="00925276" w:rsidRDefault="00FB73F1">
            <w:pPr>
              <w:spacing w:after="0"/>
            </w:pPr>
            <w:r>
              <w:t xml:space="preserve">Email: </w:t>
            </w:r>
            <w:hyperlink r:id="rId9">
              <w:r>
                <w:rPr>
                  <w:u w:val="single"/>
                </w:rPr>
                <w:t>lmcdermott@ansi.org</w:t>
              </w:r>
            </w:hyperlink>
          </w:p>
          <w:p w14:paraId="00000024" w14:textId="77777777" w:rsidR="00925276" w:rsidRDefault="00FB73F1">
            <w:pPr>
              <w:spacing w:after="0"/>
            </w:pPr>
            <w:hyperlink r:id="rId10">
              <w:r>
                <w:rPr>
                  <w:u w:val="single"/>
                </w:rPr>
                <w:t>standardsalliance@ansi.org</w:t>
              </w:r>
            </w:hyperlink>
          </w:p>
        </w:tc>
      </w:tr>
    </w:tbl>
    <w:p w14:paraId="00000025" w14:textId="77777777" w:rsidR="00925276" w:rsidRDefault="00925276"/>
    <w:p w14:paraId="00000026" w14:textId="77777777" w:rsidR="00925276" w:rsidRDefault="00925276">
      <w:pPr>
        <w:spacing w:after="0"/>
        <w:rPr>
          <w:rFonts w:ascii="Times New Roman" w:eastAsia="Times New Roman" w:hAnsi="Times New Roman" w:cs="Times New Roman"/>
          <w:b/>
          <w:color w:val="000000"/>
          <w:sz w:val="24"/>
          <w:szCs w:val="24"/>
        </w:rPr>
      </w:pPr>
    </w:p>
    <w:p w14:paraId="00000027" w14:textId="77777777" w:rsidR="00925276" w:rsidRDefault="00925276">
      <w:pPr>
        <w:spacing w:after="0"/>
        <w:rPr>
          <w:rFonts w:ascii="Times New Roman" w:eastAsia="Times New Roman" w:hAnsi="Times New Roman" w:cs="Times New Roman"/>
          <w:b/>
          <w:color w:val="000000"/>
          <w:sz w:val="24"/>
          <w:szCs w:val="24"/>
        </w:rPr>
      </w:pPr>
    </w:p>
    <w:p w14:paraId="00000028" w14:textId="77777777" w:rsidR="00925276" w:rsidRDefault="00925276">
      <w:pPr>
        <w:spacing w:after="0"/>
        <w:rPr>
          <w:rFonts w:ascii="Times New Roman" w:eastAsia="Times New Roman" w:hAnsi="Times New Roman" w:cs="Times New Roman"/>
          <w:b/>
          <w:color w:val="000000"/>
          <w:sz w:val="24"/>
          <w:szCs w:val="24"/>
        </w:rPr>
      </w:pPr>
    </w:p>
    <w:p w14:paraId="00000029" w14:textId="77777777" w:rsidR="00925276" w:rsidRDefault="00925276">
      <w:pPr>
        <w:spacing w:after="0"/>
        <w:rPr>
          <w:rFonts w:ascii="Times New Roman" w:eastAsia="Times New Roman" w:hAnsi="Times New Roman" w:cs="Times New Roman"/>
          <w:b/>
          <w:color w:val="000000"/>
          <w:sz w:val="24"/>
          <w:szCs w:val="24"/>
        </w:rPr>
      </w:pPr>
    </w:p>
    <w:p w14:paraId="0000002A" w14:textId="77777777" w:rsidR="00925276" w:rsidRDefault="00925276">
      <w:pPr>
        <w:spacing w:after="0"/>
        <w:rPr>
          <w:rFonts w:ascii="Times New Roman" w:eastAsia="Times New Roman" w:hAnsi="Times New Roman" w:cs="Times New Roman"/>
          <w:b/>
          <w:color w:val="000000"/>
          <w:sz w:val="24"/>
          <w:szCs w:val="24"/>
        </w:rPr>
      </w:pPr>
    </w:p>
    <w:p w14:paraId="0000002B" w14:textId="77777777" w:rsidR="00925276" w:rsidRDefault="00925276">
      <w:pPr>
        <w:spacing w:after="0"/>
        <w:rPr>
          <w:rFonts w:ascii="Times New Roman" w:eastAsia="Times New Roman" w:hAnsi="Times New Roman" w:cs="Times New Roman"/>
          <w:b/>
          <w:color w:val="000000"/>
          <w:sz w:val="24"/>
          <w:szCs w:val="24"/>
        </w:rPr>
      </w:pPr>
    </w:p>
    <w:p w14:paraId="0000002C" w14:textId="77777777" w:rsidR="00925276" w:rsidRDefault="00925276">
      <w:pPr>
        <w:spacing w:after="0"/>
        <w:rPr>
          <w:rFonts w:ascii="Times New Roman" w:eastAsia="Times New Roman" w:hAnsi="Times New Roman" w:cs="Times New Roman"/>
          <w:b/>
          <w:color w:val="000000"/>
          <w:sz w:val="24"/>
          <w:szCs w:val="24"/>
        </w:rPr>
      </w:pPr>
    </w:p>
    <w:p w14:paraId="0000002D" w14:textId="77777777" w:rsidR="00925276" w:rsidRDefault="00925276">
      <w:pPr>
        <w:spacing w:after="0"/>
        <w:rPr>
          <w:rFonts w:ascii="Times New Roman" w:eastAsia="Times New Roman" w:hAnsi="Times New Roman" w:cs="Times New Roman"/>
          <w:b/>
          <w:color w:val="000000"/>
          <w:sz w:val="24"/>
          <w:szCs w:val="24"/>
        </w:rPr>
      </w:pPr>
    </w:p>
    <w:p w14:paraId="0000002E" w14:textId="77777777" w:rsidR="00925276" w:rsidRDefault="00925276">
      <w:pPr>
        <w:spacing w:after="0"/>
        <w:rPr>
          <w:rFonts w:ascii="Times New Roman" w:eastAsia="Times New Roman" w:hAnsi="Times New Roman" w:cs="Times New Roman"/>
          <w:b/>
          <w:color w:val="000000"/>
          <w:sz w:val="24"/>
          <w:szCs w:val="24"/>
        </w:rPr>
      </w:pPr>
    </w:p>
    <w:p w14:paraId="0000002F" w14:textId="77777777" w:rsidR="00925276" w:rsidRDefault="00925276">
      <w:pPr>
        <w:spacing w:after="0"/>
        <w:rPr>
          <w:rFonts w:ascii="Times New Roman" w:eastAsia="Times New Roman" w:hAnsi="Times New Roman" w:cs="Times New Roman"/>
          <w:b/>
          <w:color w:val="000000"/>
          <w:sz w:val="24"/>
          <w:szCs w:val="24"/>
        </w:rPr>
      </w:pPr>
    </w:p>
    <w:p w14:paraId="00000030" w14:textId="77777777" w:rsidR="00925276" w:rsidRDefault="00925276">
      <w:pPr>
        <w:spacing w:after="0"/>
        <w:rPr>
          <w:rFonts w:ascii="Times New Roman" w:eastAsia="Times New Roman" w:hAnsi="Times New Roman" w:cs="Times New Roman"/>
          <w:b/>
          <w:color w:val="000000"/>
          <w:sz w:val="24"/>
          <w:szCs w:val="24"/>
        </w:rPr>
      </w:pPr>
    </w:p>
    <w:p w14:paraId="00000031" w14:textId="77777777" w:rsidR="00925276" w:rsidRDefault="00925276">
      <w:pPr>
        <w:spacing w:after="0"/>
        <w:rPr>
          <w:rFonts w:ascii="Times New Roman" w:eastAsia="Times New Roman" w:hAnsi="Times New Roman" w:cs="Times New Roman"/>
          <w:color w:val="000000"/>
          <w:sz w:val="24"/>
          <w:szCs w:val="24"/>
        </w:rPr>
      </w:pPr>
    </w:p>
    <w:sectPr w:rsidR="00925276">
      <w:footerReference w:type="even" r:id="rId11"/>
      <w:footerReference w:type="default" r:id="rId12"/>
      <w:headerReference w:type="first" r:id="rId13"/>
      <w:footerReference w:type="first" r:id="rId14"/>
      <w:pgSz w:w="11906" w:h="16838"/>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3AC9" w14:textId="77777777" w:rsidR="00FB73F1" w:rsidRDefault="00FB73F1">
      <w:pPr>
        <w:spacing w:after="0"/>
      </w:pPr>
      <w:r>
        <w:separator/>
      </w:r>
    </w:p>
  </w:endnote>
  <w:endnote w:type="continuationSeparator" w:id="0">
    <w:p w14:paraId="16AE9B30" w14:textId="77777777" w:rsidR="00FB73F1" w:rsidRDefault="00FB7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925276" w:rsidRDefault="00FB73F1">
    <w:pPr>
      <w:pBdr>
        <w:top w:val="nil"/>
        <w:left w:val="nil"/>
        <w:bottom w:val="nil"/>
        <w:right w:val="nil"/>
        <w:between w:val="nil"/>
      </w:pBdr>
      <w:tabs>
        <w:tab w:val="center" w:pos="4320"/>
        <w:tab w:val="right" w:pos="8640"/>
      </w:tabs>
      <w:spacing w:after="0"/>
      <w:jc w:val="right"/>
      <w:rPr>
        <w:smallCaps/>
        <w:sz w:val="16"/>
        <w:szCs w:val="16"/>
      </w:rPr>
    </w:pPr>
    <w:r>
      <w:rPr>
        <w:smallCaps/>
        <w:sz w:val="16"/>
        <w:szCs w:val="16"/>
      </w:rPr>
      <w:fldChar w:fldCharType="begin"/>
    </w:r>
    <w:r>
      <w:rPr>
        <w:smallCaps/>
        <w:sz w:val="16"/>
        <w:szCs w:val="16"/>
      </w:rPr>
      <w:instrText>PAGE</w:instrText>
    </w:r>
    <w:r>
      <w:rPr>
        <w:smallCaps/>
        <w:sz w:val="16"/>
        <w:szCs w:val="16"/>
      </w:rPr>
      <w:fldChar w:fldCharType="separate"/>
    </w:r>
    <w:r>
      <w:rPr>
        <w:smallCaps/>
        <w:sz w:val="16"/>
        <w:szCs w:val="16"/>
      </w:rPr>
      <w:fldChar w:fldCharType="end"/>
    </w:r>
  </w:p>
  <w:p w14:paraId="00000035" w14:textId="77777777" w:rsidR="00925276" w:rsidRDefault="00925276">
    <w:pPr>
      <w:pBdr>
        <w:top w:val="nil"/>
        <w:left w:val="nil"/>
        <w:bottom w:val="nil"/>
        <w:right w:val="nil"/>
        <w:between w:val="nil"/>
      </w:pBdr>
      <w:tabs>
        <w:tab w:val="center" w:pos="4320"/>
        <w:tab w:val="right" w:pos="8640"/>
      </w:tabs>
      <w:spacing w:after="0"/>
      <w:ind w:right="360"/>
      <w:rPr>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14373082" w:rsidR="00925276" w:rsidRDefault="00FB73F1">
    <w:pPr>
      <w:pBdr>
        <w:top w:val="nil"/>
        <w:left w:val="nil"/>
        <w:bottom w:val="nil"/>
        <w:right w:val="nil"/>
        <w:between w:val="nil"/>
      </w:pBdr>
      <w:tabs>
        <w:tab w:val="center" w:pos="4320"/>
        <w:tab w:val="right" w:pos="8640"/>
      </w:tabs>
      <w:spacing w:after="0"/>
      <w:rPr>
        <w:b/>
        <w:smallCaps/>
        <w:sz w:val="16"/>
        <w:szCs w:val="16"/>
      </w:rPr>
    </w:pPr>
    <w:r>
      <w:rPr>
        <w:b/>
        <w:smallCaps/>
        <w:sz w:val="16"/>
        <w:szCs w:val="16"/>
      </w:rPr>
      <w:fldChar w:fldCharType="begin"/>
    </w:r>
    <w:r>
      <w:rPr>
        <w:b/>
        <w:smallCaps/>
        <w:sz w:val="16"/>
        <w:szCs w:val="16"/>
      </w:rPr>
      <w:instrText>PAGE</w:instrText>
    </w:r>
    <w:r>
      <w:rPr>
        <w:b/>
        <w:smallCaps/>
        <w:sz w:val="16"/>
        <w:szCs w:val="16"/>
      </w:rPr>
      <w:fldChar w:fldCharType="separate"/>
    </w:r>
    <w:r w:rsidR="00BC27B3">
      <w:rPr>
        <w:b/>
        <w:smallCaps/>
        <w:noProof/>
        <w:sz w:val="16"/>
        <w:szCs w:val="16"/>
      </w:rPr>
      <w:t>2</w:t>
    </w:r>
    <w:r>
      <w:rPr>
        <w:b/>
        <w:smallCaps/>
        <w:sz w:val="16"/>
        <w:szCs w:val="16"/>
      </w:rPr>
      <w:fldChar w:fldCharType="end"/>
    </w:r>
  </w:p>
  <w:p w14:paraId="00000033" w14:textId="77777777" w:rsidR="00925276" w:rsidRDefault="00FB73F1">
    <w:pPr>
      <w:pBdr>
        <w:top w:val="nil"/>
        <w:left w:val="nil"/>
        <w:bottom w:val="nil"/>
        <w:right w:val="nil"/>
        <w:between w:val="nil"/>
      </w:pBdr>
      <w:tabs>
        <w:tab w:val="center" w:pos="4320"/>
        <w:tab w:val="right" w:pos="8640"/>
        <w:tab w:val="center" w:pos="4680"/>
        <w:tab w:val="right" w:pos="9360"/>
      </w:tabs>
      <w:spacing w:after="0"/>
      <w:ind w:right="360"/>
      <w:rPr>
        <w:b/>
        <w:smallCaps/>
        <w:sz w:val="16"/>
        <w:szCs w:val="16"/>
      </w:rPr>
    </w:pPr>
    <w:r>
      <w:rPr>
        <w:smallCaps/>
        <w:sz w:val="16"/>
        <w:szCs w:val="16"/>
      </w:rPr>
      <w:t>usaid.gov</w:t>
    </w:r>
    <w:r>
      <w:rPr>
        <w:smallCaps/>
        <w:sz w:val="16"/>
        <w:szCs w:val="16"/>
      </w:rPr>
      <w:tab/>
    </w:r>
    <w:r>
      <w:rPr>
        <w:smallCaps/>
        <w:sz w:val="16"/>
        <w:szCs w:val="16"/>
      </w:rPr>
      <w:tab/>
      <w:t xml:space="preserve">STANDARDS ALLIANCE PHASE 2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45C791F5" w:rsidR="00925276" w:rsidRDefault="00FB73F1">
    <w:pPr>
      <w:pBdr>
        <w:top w:val="nil"/>
        <w:left w:val="nil"/>
        <w:bottom w:val="nil"/>
        <w:right w:val="nil"/>
        <w:between w:val="nil"/>
      </w:pBdr>
      <w:tabs>
        <w:tab w:val="center" w:pos="4320"/>
        <w:tab w:val="right" w:pos="8640"/>
      </w:tabs>
      <w:spacing w:after="0"/>
      <w:rPr>
        <w:b/>
        <w:smallCaps/>
        <w:sz w:val="16"/>
        <w:szCs w:val="16"/>
      </w:rPr>
    </w:pPr>
    <w:r>
      <w:rPr>
        <w:b/>
        <w:smallCaps/>
        <w:sz w:val="16"/>
        <w:szCs w:val="16"/>
      </w:rPr>
      <w:fldChar w:fldCharType="begin"/>
    </w:r>
    <w:r>
      <w:rPr>
        <w:b/>
        <w:smallCaps/>
        <w:sz w:val="16"/>
        <w:szCs w:val="16"/>
      </w:rPr>
      <w:instrText>PAGE</w:instrText>
    </w:r>
    <w:r>
      <w:rPr>
        <w:b/>
        <w:smallCaps/>
        <w:sz w:val="16"/>
        <w:szCs w:val="16"/>
      </w:rPr>
      <w:fldChar w:fldCharType="separate"/>
    </w:r>
    <w:r w:rsidR="00BC27B3">
      <w:rPr>
        <w:b/>
        <w:smallCaps/>
        <w:noProof/>
        <w:sz w:val="16"/>
        <w:szCs w:val="16"/>
      </w:rPr>
      <w:t>1</w:t>
    </w:r>
    <w:r>
      <w:rPr>
        <w:b/>
        <w:smallCaps/>
        <w:sz w:val="16"/>
        <w:szCs w:val="16"/>
      </w:rPr>
      <w:fldChar w:fldCharType="end"/>
    </w:r>
  </w:p>
  <w:p w14:paraId="00000037" w14:textId="77777777" w:rsidR="00925276" w:rsidRDefault="00FB73F1">
    <w:pPr>
      <w:pBdr>
        <w:top w:val="nil"/>
        <w:left w:val="nil"/>
        <w:bottom w:val="nil"/>
        <w:right w:val="nil"/>
        <w:between w:val="nil"/>
      </w:pBdr>
      <w:tabs>
        <w:tab w:val="center" w:pos="4320"/>
        <w:tab w:val="right" w:pos="8640"/>
        <w:tab w:val="center" w:pos="4680"/>
        <w:tab w:val="right" w:pos="9360"/>
      </w:tabs>
      <w:spacing w:after="0"/>
      <w:ind w:right="360"/>
      <w:rPr>
        <w:b/>
        <w:smallCaps/>
        <w:sz w:val="16"/>
        <w:szCs w:val="16"/>
      </w:rPr>
    </w:pPr>
    <w:r>
      <w:rPr>
        <w:smallCaps/>
        <w:sz w:val="16"/>
        <w:szCs w:val="16"/>
      </w:rPr>
      <w:t>usaid.gov</w:t>
    </w:r>
    <w:r>
      <w:rPr>
        <w:smallCaps/>
        <w:sz w:val="16"/>
        <w:szCs w:val="16"/>
      </w:rPr>
      <w:tab/>
    </w:r>
    <w:r>
      <w:rPr>
        <w:smallCaps/>
        <w:sz w:val="16"/>
        <w:szCs w:val="16"/>
      </w:rPr>
      <w:tab/>
      <w:t xml:space="preserve">STANDARDS ALLIANCE PHASE 2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76B1" w14:textId="77777777" w:rsidR="00FB73F1" w:rsidRDefault="00FB73F1">
      <w:pPr>
        <w:spacing w:after="0"/>
      </w:pPr>
      <w:r>
        <w:separator/>
      </w:r>
    </w:p>
  </w:footnote>
  <w:footnote w:type="continuationSeparator" w:id="0">
    <w:p w14:paraId="41544BC1" w14:textId="77777777" w:rsidR="00FB73F1" w:rsidRDefault="00FB73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925276" w:rsidRDefault="00FB73F1">
    <w:r>
      <w:rPr>
        <w:noProof/>
      </w:rPr>
      <w:drawing>
        <wp:inline distT="0" distB="2743200" distL="114300" distR="114300">
          <wp:extent cx="1922145" cy="584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2145" cy="584200"/>
                  </a:xfrm>
                  <a:prstGeom prst="rect">
                    <a:avLst/>
                  </a:prstGeom>
                  <a:ln/>
                </pic:spPr>
              </pic:pic>
            </a:graphicData>
          </a:graphic>
        </wp:inline>
      </w:drawing>
    </w:r>
    <w:r>
      <w:t xml:space="preserve">                                                  </w:t>
    </w:r>
    <w:r>
      <w:rPr>
        <w:noProof/>
      </w:rPr>
      <w:drawing>
        <wp:inline distT="0" distB="0" distL="114300" distR="114300">
          <wp:extent cx="1757164" cy="7334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r="7760"/>
                  <a:stretch>
                    <a:fillRect/>
                  </a:stretch>
                </pic:blipFill>
                <pic:spPr>
                  <a:xfrm>
                    <a:off x="0" y="0"/>
                    <a:ext cx="1757164"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283E"/>
    <w:multiLevelType w:val="multilevel"/>
    <w:tmpl w:val="3C1E962C"/>
    <w:lvl w:ilvl="0">
      <w:start w:val="1"/>
      <w:numFmt w:val="bullet"/>
      <w:lvlText w:val="●"/>
      <w:lvlJc w:val="left"/>
      <w:pPr>
        <w:ind w:left="720" w:hanging="360"/>
      </w:pPr>
      <w:rPr>
        <w:rFonts w:ascii="Noto Sans Symbols" w:eastAsia="Noto Sans Symbols" w:hAnsi="Noto Sans Symbols" w:cs="Noto Sans Symbols"/>
        <w:color w:val="1F497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GwMLI0NbGwtDRV0lEKTi0uzszPAykwrAUAd9XwwywAAAA="/>
  </w:docVars>
  <w:rsids>
    <w:rsidRoot w:val="00925276"/>
    <w:rsid w:val="00925276"/>
    <w:rsid w:val="00BC27B3"/>
    <w:rsid w:val="00FB73F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81B1A-A4CB-4478-A13D-2A620DFD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color w:val="6C6463"/>
        <w:sz w:val="22"/>
        <w:szCs w:val="22"/>
        <w:lang w:val="en-US" w:eastAsia="en-US" w:bidi="ne-NP"/>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360" w:after="120"/>
      <w:outlineLvl w:val="0"/>
    </w:pPr>
    <w:rPr>
      <w:b/>
      <w:smallCaps/>
      <w:color w:val="C2113A"/>
      <w:sz w:val="28"/>
      <w:szCs w:val="28"/>
    </w:rPr>
  </w:style>
  <w:style w:type="paragraph" w:styleId="Heading2">
    <w:name w:val="heading 2"/>
    <w:basedOn w:val="Normal"/>
    <w:next w:val="Normal"/>
    <w:uiPriority w:val="9"/>
    <w:unhideWhenUsed/>
    <w:qFormat/>
    <w:pPr>
      <w:spacing w:before="360" w:after="120"/>
      <w:outlineLvl w:val="1"/>
    </w:pPr>
    <w:rPr>
      <w:b/>
      <w:smallCaps/>
      <w:color w:val="000000"/>
      <w:sz w:val="20"/>
      <w:szCs w:val="20"/>
    </w:rPr>
  </w:style>
  <w:style w:type="paragraph" w:styleId="Heading3">
    <w:name w:val="heading 3"/>
    <w:basedOn w:val="Normal"/>
    <w:next w:val="Normal"/>
    <w:uiPriority w:val="9"/>
    <w:unhideWhenUsed/>
    <w:qFormat/>
    <w:pPr>
      <w:spacing w:before="360" w:after="120"/>
      <w:outlineLvl w:val="2"/>
    </w:pPr>
    <w:rPr>
      <w:smallCaps/>
      <w:color w:val="C2113A"/>
      <w:sz w:val="20"/>
      <w:szCs w:val="20"/>
    </w:rPr>
  </w:style>
  <w:style w:type="paragraph" w:styleId="Heading4">
    <w:name w:val="heading 4"/>
    <w:basedOn w:val="Normal"/>
    <w:next w:val="Normal"/>
    <w:uiPriority w:val="9"/>
    <w:semiHidden/>
    <w:unhideWhenUsed/>
    <w:qFormat/>
    <w:pPr>
      <w:pBdr>
        <w:top w:val="nil"/>
        <w:left w:val="nil"/>
        <w:bottom w:val="nil"/>
        <w:right w:val="nil"/>
        <w:between w:val="nil"/>
      </w:pBdr>
      <w:spacing w:after="0"/>
      <w:outlineLvl w:val="3"/>
    </w:pPr>
    <w:rPr>
      <w:b/>
      <w:smallCaps/>
      <w:sz w:val="20"/>
      <w:szCs w:val="2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mallCaps/>
      <w:color w:val="C2113A"/>
      <w:sz w:val="52"/>
      <w:szCs w:val="52"/>
    </w:rPr>
  </w:style>
  <w:style w:type="paragraph" w:styleId="Subtitle">
    <w:name w:val="Subtitle"/>
    <w:basedOn w:val="Normal"/>
    <w:next w:val="Normal"/>
    <w:uiPriority w:val="11"/>
    <w:qFormat/>
    <w:pPr>
      <w:spacing w:after="360"/>
    </w:pPr>
    <w:rPr>
      <w:sz w:val="32"/>
      <w:szCs w:val="32"/>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dvazquez@usaid.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si.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dardsalliance@ansi.org" TargetMode="External"/><Relationship Id="rId4" Type="http://schemas.openxmlformats.org/officeDocument/2006/relationships/webSettings" Target="webSettings.xml"/><Relationship Id="rId9" Type="http://schemas.openxmlformats.org/officeDocument/2006/relationships/hyperlink" Target="mailto:lmcdermott@ansi.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 Bhandari</dc:creator>
  <cp:lastModifiedBy>Amrit Bhandari</cp:lastModifiedBy>
  <cp:revision>2</cp:revision>
  <dcterms:created xsi:type="dcterms:W3CDTF">2021-06-30T19:14:00Z</dcterms:created>
  <dcterms:modified xsi:type="dcterms:W3CDTF">2021-06-30T19:14:00Z</dcterms:modified>
</cp:coreProperties>
</file>